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7FB" w:rsidRPr="0000724C" w:rsidRDefault="005847FB" w:rsidP="005847FB">
      <w:pPr>
        <w:pStyle w:val="2"/>
        <w:jc w:val="right"/>
        <w:divId w:val="571544969"/>
        <w:rPr>
          <w:rFonts w:eastAsia="Times New Roman"/>
          <w:b w:val="0"/>
          <w:sz w:val="24"/>
          <w:szCs w:val="24"/>
        </w:rPr>
      </w:pPr>
      <w:r w:rsidRPr="0000724C">
        <w:rPr>
          <w:rFonts w:eastAsia="Times New Roman"/>
          <w:b w:val="0"/>
          <w:sz w:val="24"/>
          <w:szCs w:val="24"/>
        </w:rPr>
        <w:t>Приложение №1</w:t>
      </w:r>
      <w:r>
        <w:rPr>
          <w:rFonts w:eastAsia="Times New Roman"/>
          <w:b w:val="0"/>
          <w:sz w:val="24"/>
          <w:szCs w:val="24"/>
        </w:rPr>
        <w:t>9</w:t>
      </w:r>
      <w:bookmarkStart w:id="0" w:name="_GoBack"/>
      <w:bookmarkEnd w:id="0"/>
    </w:p>
    <w:p w:rsidR="00AB1673" w:rsidRDefault="006F002D">
      <w:pPr>
        <w:pStyle w:val="2"/>
        <w:divId w:val="571544969"/>
        <w:rPr>
          <w:rFonts w:eastAsia="Times New Roman"/>
        </w:rPr>
      </w:pPr>
      <w:r>
        <w:rPr>
          <w:rFonts w:eastAsia="Times New Roman"/>
        </w:rPr>
        <w:t>Чек-лист: контроль состояния оборудования, инвентаря и посуды</w:t>
      </w:r>
    </w:p>
    <w:p w:rsidR="00AB1673" w:rsidRDefault="006F002D">
      <w:pPr>
        <w:divId w:val="1417508924"/>
        <w:rPr>
          <w:rFonts w:eastAsia="Times New Roman"/>
        </w:rPr>
      </w:pPr>
      <w:r>
        <w:rPr>
          <w:rFonts w:eastAsia="Times New Roman"/>
        </w:rPr>
        <w:t>Чек-ли</w:t>
      </w:r>
      <w:proofErr w:type="gramStart"/>
      <w:r>
        <w:rPr>
          <w:rFonts w:eastAsia="Times New Roman"/>
        </w:rPr>
        <w:t>ст вкл</w:t>
      </w:r>
      <w:proofErr w:type="gramEnd"/>
      <w:r>
        <w:rPr>
          <w:rFonts w:eastAsia="Times New Roman"/>
        </w:rPr>
        <w:t xml:space="preserve">ючает только основные вопросы по требованиям СанПиН 2.3/2.4.3590-20 и СП 2.4.3648-20. Содержание вопросов может уточняться в зависимости от критических контрольных точек образовательной организации и способа организации питания детей, питьевого режима.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644"/>
        <w:gridCol w:w="3485"/>
        <w:gridCol w:w="1626"/>
        <w:gridCol w:w="2274"/>
        <w:gridCol w:w="1626"/>
      </w:tblGrid>
      <w:tr w:rsidR="00AB1673">
        <w:trPr>
          <w:divId w:val="1814174525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 xml:space="preserve">№ </w:t>
            </w:r>
            <w:proofErr w:type="gramStart"/>
            <w:r>
              <w:rPr>
                <w:rStyle w:val="a4"/>
              </w:rPr>
              <w:t>п</w:t>
            </w:r>
            <w:proofErr w:type="gramEnd"/>
            <w:r>
              <w:rPr>
                <w:rStyle w:val="a4"/>
              </w:rPr>
              <w:t>/п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>Вопрос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>Основание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>Периодичность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>Выполнено</w:t>
            </w:r>
            <w:r>
              <w:br/>
            </w:r>
            <w:r>
              <w:rPr>
                <w:rStyle w:val="a4"/>
              </w:rPr>
              <w:t>«да»/«нет»</w:t>
            </w:r>
          </w:p>
        </w:tc>
      </w:tr>
      <w:tr w:rsidR="00AB1673">
        <w:trPr>
          <w:divId w:val="1814174525"/>
        </w:trPr>
        <w:tc>
          <w:tcPr>
            <w:tcW w:w="3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</w:pPr>
            <w:r>
              <w:t>1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</w:pPr>
            <w:r>
              <w:t xml:space="preserve">Из материалов, разрешенных для контакта с пищевыми продуктами и устойчивых к действию моющих и дезинфицирующих средств, </w:t>
            </w:r>
            <w:proofErr w:type="gramStart"/>
            <w:r>
              <w:t>выполнены</w:t>
            </w:r>
            <w:proofErr w:type="gramEnd"/>
            <w:r>
              <w:t>:</w:t>
            </w:r>
          </w:p>
          <w:p w:rsidR="00AB1673" w:rsidRDefault="006F002D">
            <w:pPr>
              <w:pStyle w:val="a3"/>
              <w:spacing w:line="0" w:lineRule="atLeast"/>
            </w:pPr>
            <w:r>
              <w:t>– технологическое оборудование и столы</w:t>
            </w:r>
          </w:p>
        </w:tc>
        <w:tc>
          <w:tcPr>
            <w:tcW w:w="8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5847FB">
            <w:pPr>
              <w:pStyle w:val="a3"/>
              <w:spacing w:line="0" w:lineRule="atLeast"/>
            </w:pPr>
            <w:hyperlink r:id="rId5" w:anchor="/document/99/566276706/XA00M9K2N6/" w:history="1">
              <w:r w:rsidR="006F002D">
                <w:rPr>
                  <w:rStyle w:val="a5"/>
                </w:rPr>
                <w:t>Пункт 2.9</w:t>
              </w:r>
            </w:hyperlink>
            <w:r w:rsidR="006F002D">
              <w:t xml:space="preserve"> СанПиН 2.3/2.4.3590-20, </w:t>
            </w:r>
            <w:hyperlink r:id="rId6" w:anchor="/document/99/566085656/XA00MA02N6/" w:history="1">
              <w:r w:rsidR="006F002D">
                <w:rPr>
                  <w:rStyle w:val="a5"/>
                </w:rPr>
                <w:t>подпункт 2.4.6.2</w:t>
              </w:r>
            </w:hyperlink>
            <w:r w:rsidR="006F002D">
              <w:t xml:space="preserve"> пункта 2.4 СП 2.4.3648-20</w:t>
            </w:r>
          </w:p>
        </w:tc>
        <w:tc>
          <w:tcPr>
            <w:tcW w:w="10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</w:pPr>
            <w:r>
              <w:t>При закупке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</w:pPr>
            <w:r>
              <w:t>– инвентарь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</w:pPr>
            <w:r>
              <w:t>– посуда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</w:pPr>
            <w:r>
              <w:t>– тара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</w:pPr>
            <w:r>
              <w:t>2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</w:pPr>
            <w:r>
              <w:t>Посуда для приготовления блюд сделана из нержавеющей стали</w:t>
            </w:r>
          </w:p>
        </w:tc>
        <w:tc>
          <w:tcPr>
            <w:tcW w:w="8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5847FB">
            <w:pPr>
              <w:pStyle w:val="a3"/>
              <w:spacing w:line="0" w:lineRule="atLeast"/>
            </w:pPr>
            <w:hyperlink r:id="rId7" w:anchor="/document/99/566085656/XA00MA02N6/" w:history="1">
              <w:r w:rsidR="006F002D">
                <w:rPr>
                  <w:rStyle w:val="a5"/>
                </w:rPr>
                <w:t>Подпункт 2.4.6.2</w:t>
              </w:r>
            </w:hyperlink>
            <w:r w:rsidR="006F002D">
              <w:t xml:space="preserve"> пункта 2.4 СП 2.4.3648-20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</w:pPr>
            <w:r>
              <w:t>3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0" w:lineRule="atLeast"/>
            </w:pPr>
            <w:r>
              <w:t>Столешница для работы с тестом имеет поверхность из дерева твердых лиственных пород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  <w:trHeight w:val="12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12" w:lineRule="atLeast"/>
            </w:pPr>
            <w:r>
              <w:t>4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12" w:lineRule="atLeast"/>
            </w:pPr>
            <w:r>
              <w:t>Производственные столы для обработки пищевых продуктов – цельнометаллические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2"/>
              </w:rPr>
            </w:pPr>
          </w:p>
        </w:tc>
      </w:tr>
      <w:tr w:rsidR="00AB1673">
        <w:trPr>
          <w:divId w:val="1814174525"/>
          <w:trHeight w:val="12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12" w:lineRule="atLeast"/>
            </w:pPr>
            <w:r>
              <w:t>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12" w:lineRule="atLeast"/>
            </w:pPr>
            <w:r>
              <w:t xml:space="preserve">Столы в холодном цехе имеют охлаждаемую поверхность (необходимы, если столы заменяют </w:t>
            </w:r>
            <w:proofErr w:type="gramStart"/>
            <w:r>
              <w:t>на</w:t>
            </w:r>
            <w:proofErr w:type="gramEnd"/>
            <w:r>
              <w:t xml:space="preserve"> новые в промежутке 01.01.2021–31.12.2026)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2"/>
              </w:rPr>
            </w:pPr>
          </w:p>
        </w:tc>
      </w:tr>
      <w:tr w:rsidR="00AB1673">
        <w:trPr>
          <w:divId w:val="1814174525"/>
          <w:trHeight w:val="7"/>
        </w:trPr>
        <w:tc>
          <w:tcPr>
            <w:tcW w:w="3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</w:pPr>
            <w:r>
              <w:t>6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</w:pPr>
            <w:r>
              <w:t>Маркировку имеют:</w:t>
            </w:r>
          </w:p>
          <w:p w:rsidR="00AB1673" w:rsidRDefault="006F002D">
            <w:pPr>
              <w:pStyle w:val="a3"/>
              <w:spacing w:line="7" w:lineRule="atLeast"/>
            </w:pPr>
            <w:r>
              <w:t>– разделочный и иной инвентарь</w:t>
            </w:r>
          </w:p>
        </w:tc>
        <w:tc>
          <w:tcPr>
            <w:tcW w:w="8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5847FB">
            <w:pPr>
              <w:pStyle w:val="a3"/>
              <w:spacing w:line="7" w:lineRule="atLeast"/>
            </w:pPr>
            <w:hyperlink r:id="rId8" w:anchor="/document/99/566276706/XA00MAK2NA/" w:history="1">
              <w:r w:rsidR="006F002D">
                <w:rPr>
                  <w:rStyle w:val="a5"/>
                </w:rPr>
                <w:t>Пункт 3.2</w:t>
              </w:r>
            </w:hyperlink>
            <w:r w:rsidR="006F002D">
              <w:t xml:space="preserve"> СанПиН 2.3/2.4.3590-20, </w:t>
            </w:r>
            <w:hyperlink r:id="rId9" w:anchor="/document/99/566085656/XA00MA02N6/" w:history="1">
              <w:r w:rsidR="006F002D">
                <w:rPr>
                  <w:rStyle w:val="a5"/>
                </w:rPr>
                <w:t>подпункт 2.4.6.2</w:t>
              </w:r>
            </w:hyperlink>
            <w:r w:rsidR="006F002D">
              <w:t xml:space="preserve"> пункта 2.4 СП 2.4.3648-20</w:t>
            </w:r>
          </w:p>
        </w:tc>
        <w:tc>
          <w:tcPr>
            <w:tcW w:w="10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7" w:lineRule="atLeast"/>
            </w:pPr>
            <w:r>
              <w:lastRenderedPageBreak/>
              <w:t>Перед первым использованием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  <w:trHeight w:val="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7" w:lineRule="atLeast"/>
            </w:pPr>
            <w:r>
              <w:t>– кухонная посуда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  <w:trHeight w:val="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7" w:lineRule="atLeast"/>
            </w:pPr>
            <w:r>
              <w:t>– столы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  <w:trHeight w:val="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7" w:lineRule="atLeast"/>
            </w:pPr>
            <w:r>
              <w:t>–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  <w:trHeight w:val="9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9" w:lineRule="atLeast"/>
            </w:pPr>
            <w:r>
              <w:t>7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9" w:lineRule="atLeast"/>
            </w:pPr>
            <w:r>
              <w:t>Маркировка посуды, оборудования и т. п. четкая и понятная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5847FB">
            <w:pPr>
              <w:pStyle w:val="a3"/>
              <w:spacing w:line="9" w:lineRule="atLeast"/>
            </w:pPr>
            <w:hyperlink r:id="rId10" w:anchor="/document/99/566276706/XA00MAK2NA/" w:history="1">
              <w:r w:rsidR="006F002D">
                <w:rPr>
                  <w:rStyle w:val="a5"/>
                </w:rPr>
                <w:t>Пункт 3.2</w:t>
              </w:r>
            </w:hyperlink>
            <w:r w:rsidR="006F002D">
              <w:t xml:space="preserve"> СанПиН 2.3/2.4.3590-20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9" w:lineRule="atLeast"/>
            </w:pPr>
            <w:r>
              <w:t>В сроки, указанные в программе производственного контроля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  <w:trHeight w:val="3"/>
        </w:trPr>
        <w:tc>
          <w:tcPr>
            <w:tcW w:w="3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</w:pPr>
            <w:r>
              <w:t>8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</w:pPr>
            <w:proofErr w:type="gramStart"/>
            <w:r>
              <w:t>Для продовольственного сырья и готовой продукции имеются раздельные:</w:t>
            </w:r>
            <w:proofErr w:type="gramEnd"/>
          </w:p>
          <w:p w:rsidR="00AB1673" w:rsidRDefault="006F002D">
            <w:pPr>
              <w:pStyle w:val="a3"/>
              <w:spacing w:line="3" w:lineRule="atLeast"/>
            </w:pPr>
            <w:r>
              <w:t>– технологическое и холодильное оборудование</w:t>
            </w:r>
          </w:p>
        </w:tc>
        <w:tc>
          <w:tcPr>
            <w:tcW w:w="8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5847FB">
            <w:pPr>
              <w:pStyle w:val="a3"/>
              <w:spacing w:line="3" w:lineRule="atLeast"/>
            </w:pPr>
            <w:hyperlink r:id="rId11" w:anchor="/document/99/566276706/XA00MAK2NA/" w:history="1">
              <w:r w:rsidR="006F002D">
                <w:rPr>
                  <w:rStyle w:val="a5"/>
                </w:rPr>
                <w:t>Пункт 3.2</w:t>
              </w:r>
            </w:hyperlink>
            <w:r w:rsidR="006F002D">
              <w:t xml:space="preserve"> СанПиН 2.3/2.4.3590-20</w:t>
            </w:r>
          </w:p>
        </w:tc>
        <w:tc>
          <w:tcPr>
            <w:tcW w:w="10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3" w:lineRule="atLeast"/>
            </w:pPr>
            <w:r>
              <w:t>В срок, который указан в паспорте или инструкции на изделие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  <w:trHeight w:val="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3" w:lineRule="atLeast"/>
            </w:pPr>
            <w:r>
              <w:t>– производственные столы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  <w:trHeight w:val="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3" w:lineRule="atLeast"/>
            </w:pPr>
            <w:r>
              <w:t>– разделочный инвентарь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  <w:trHeight w:val="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3" w:lineRule="atLeast"/>
            </w:pPr>
            <w:r>
              <w:t>– многооборотные средства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  <w:trHeight w:val="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3" w:lineRule="atLeast"/>
            </w:pPr>
            <w:r>
              <w:t>– кухонная посуда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  <w:trHeight w:val="3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3" w:lineRule="atLeast"/>
            </w:pPr>
            <w:r>
              <w:t>9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3" w:lineRule="atLeast"/>
            </w:pPr>
            <w:r>
              <w:t>Количество столовой посуды и приборов соответствует количеству непосредственно принимающих пищу лиц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5847FB">
            <w:pPr>
              <w:pStyle w:val="a3"/>
              <w:spacing w:line="3" w:lineRule="atLeast"/>
            </w:pPr>
            <w:hyperlink r:id="rId12" w:anchor="/document/99/566085656/XA00MA02N6/" w:history="1">
              <w:r w:rsidR="006F002D">
                <w:rPr>
                  <w:rStyle w:val="a5"/>
                </w:rPr>
                <w:t>Подпункт 2.4.6.2</w:t>
              </w:r>
            </w:hyperlink>
            <w:r w:rsidR="006F002D">
              <w:t xml:space="preserve"> пункта 2.4 СП 2.4.3648-20</w:t>
            </w:r>
          </w:p>
        </w:tc>
        <w:tc>
          <w:tcPr>
            <w:tcW w:w="10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  <w:spacing w:line="3" w:lineRule="atLeast"/>
            </w:pPr>
            <w:r>
              <w:t>В сроки, указанные в программе производственного контроля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  <w:sz w:val="1"/>
              </w:rPr>
            </w:pPr>
          </w:p>
        </w:tc>
      </w:tr>
      <w:tr w:rsidR="00AB1673">
        <w:trPr>
          <w:divId w:val="1814174525"/>
        </w:trPr>
        <w:tc>
          <w:tcPr>
            <w:tcW w:w="3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</w:pPr>
            <w:r>
              <w:t>10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</w:pPr>
            <w:r>
              <w:t>Деформации, дефектов и механических повреждений нет у:</w:t>
            </w:r>
          </w:p>
          <w:p w:rsidR="00AB1673" w:rsidRDefault="006F002D">
            <w:pPr>
              <w:pStyle w:val="a3"/>
            </w:pPr>
            <w:r>
              <w:t>– кухонной посуды</w:t>
            </w:r>
          </w:p>
        </w:tc>
        <w:tc>
          <w:tcPr>
            <w:tcW w:w="8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5847FB">
            <w:pPr>
              <w:pStyle w:val="a3"/>
            </w:pPr>
            <w:hyperlink r:id="rId13" w:anchor="/document/99/566085656/XA00MA02N6/" w:history="1">
              <w:r w:rsidR="006F002D">
                <w:rPr>
                  <w:rStyle w:val="a5"/>
                </w:rPr>
                <w:t>Подпункт 2.4.6.2</w:t>
              </w:r>
            </w:hyperlink>
            <w:r w:rsidR="006F002D">
              <w:t xml:space="preserve"> пункта 2.4 СП 2.4.3648-20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</w:rPr>
            </w:pPr>
          </w:p>
        </w:tc>
      </w:tr>
      <w:tr w:rsidR="00AB1673">
        <w:trPr>
          <w:divId w:val="18141745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</w:pPr>
            <w:r>
              <w:t>– столовой посуды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</w:rPr>
            </w:pPr>
          </w:p>
        </w:tc>
      </w:tr>
      <w:tr w:rsidR="00AB1673">
        <w:trPr>
          <w:divId w:val="18141745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</w:pPr>
            <w:r>
              <w:t>– инвентаря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</w:rPr>
            </w:pPr>
          </w:p>
        </w:tc>
      </w:tr>
      <w:tr w:rsidR="00AB1673">
        <w:trPr>
          <w:divId w:val="1814174525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</w:pPr>
            <w:r>
              <w:t>11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6F002D">
            <w:pPr>
              <w:pStyle w:val="a3"/>
            </w:pPr>
            <w:r>
              <w:t>Столовые приборы из алюминия не используются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5847FB">
            <w:pPr>
              <w:pStyle w:val="a3"/>
            </w:pPr>
            <w:hyperlink r:id="rId14" w:anchor="/document/99/566085656/XA00MA02N6/" w:history="1">
              <w:r w:rsidR="006F002D">
                <w:rPr>
                  <w:rStyle w:val="a5"/>
                </w:rPr>
                <w:t>Подпункт 2.4.6.2</w:t>
              </w:r>
            </w:hyperlink>
            <w:r w:rsidR="006F002D">
              <w:t xml:space="preserve"> пункта 2.4 СП 2.4.3648-20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</w:rPr>
            </w:pP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673" w:rsidRDefault="00AB1673">
            <w:pPr>
              <w:rPr>
                <w:rFonts w:eastAsia="Times New Roman"/>
              </w:rPr>
            </w:pPr>
          </w:p>
        </w:tc>
      </w:tr>
    </w:tbl>
    <w:p w:rsidR="006F002D" w:rsidRDefault="006F002D" w:rsidP="0018647E">
      <w:pPr>
        <w:divId w:val="1090007524"/>
        <w:rPr>
          <w:rFonts w:ascii="Arial" w:eastAsia="Times New Roman" w:hAnsi="Arial" w:cs="Arial"/>
          <w:sz w:val="20"/>
          <w:szCs w:val="20"/>
        </w:rPr>
      </w:pPr>
    </w:p>
    <w:sectPr w:rsidR="006F0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8647E"/>
    <w:rsid w:val="0018647E"/>
    <w:rsid w:val="005847FB"/>
    <w:rsid w:val="006F002D"/>
    <w:rsid w:val="00AB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44969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617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2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2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0007524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5" Type="http://schemas.openxmlformats.org/officeDocument/2006/relationships/hyperlink" Target="https://vip.1obraz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3</cp:revision>
  <dcterms:created xsi:type="dcterms:W3CDTF">2021-02-15T08:06:00Z</dcterms:created>
  <dcterms:modified xsi:type="dcterms:W3CDTF">2021-02-19T08:54:00Z</dcterms:modified>
</cp:coreProperties>
</file>