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413" w:rsidRPr="00945413" w:rsidRDefault="00945413" w:rsidP="00945413">
      <w:pPr>
        <w:shd w:val="clear" w:color="auto" w:fill="FFFFFF"/>
        <w:jc w:val="right"/>
        <w:rPr>
          <w:rFonts w:eastAsia="Times New Roman"/>
        </w:rPr>
      </w:pPr>
      <w:bookmarkStart w:id="0" w:name="_GoBack"/>
      <w:r w:rsidRPr="00945413">
        <w:rPr>
          <w:rFonts w:eastAsia="Times New Roman"/>
        </w:rPr>
        <w:t>Приложение №4</w:t>
      </w:r>
    </w:p>
    <w:bookmarkEnd w:id="0"/>
    <w:p w:rsidR="000A0302" w:rsidRPr="000A0302" w:rsidRDefault="000A0302" w:rsidP="000A0302">
      <w:pPr>
        <w:shd w:val="clear" w:color="auto" w:fill="FFFFFF"/>
        <w:rPr>
          <w:rFonts w:eastAsia="Times New Roman"/>
          <w:b/>
        </w:rPr>
      </w:pPr>
      <w:r w:rsidRPr="000A0302">
        <w:rPr>
          <w:rFonts w:eastAsia="Times New Roman"/>
          <w:b/>
        </w:rPr>
        <w:t>Обзор изменений в работе детского сада и школы</w:t>
      </w:r>
    </w:p>
    <w:p w:rsidR="00672CC2" w:rsidRDefault="00672CC2"/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169"/>
        <w:gridCol w:w="2677"/>
        <w:gridCol w:w="2132"/>
        <w:gridCol w:w="2677"/>
      </w:tblGrid>
      <w:tr w:rsidR="000A0302" w:rsidTr="00DA27D1">
        <w:tc>
          <w:tcPr>
            <w:tcW w:w="2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jc w:val="center"/>
            </w:pPr>
            <w:r>
              <w:rPr>
                <w:rStyle w:val="a3"/>
              </w:rPr>
              <w:t>Показатель</w:t>
            </w:r>
          </w:p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jc w:val="center"/>
            </w:pPr>
            <w:r>
              <w:rPr>
                <w:rStyle w:val="a3"/>
              </w:rPr>
              <w:t>Как было</w:t>
            </w:r>
          </w:p>
        </w:tc>
        <w:tc>
          <w:tcPr>
            <w:tcW w:w="3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jc w:val="center"/>
            </w:pPr>
            <w:r>
              <w:rPr>
                <w:rStyle w:val="a3"/>
              </w:rPr>
              <w:t>Как стало</w:t>
            </w:r>
          </w:p>
        </w:tc>
      </w:tr>
      <w:tr w:rsidR="000A0302" w:rsidTr="00DA27D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302" w:rsidRDefault="000A0302" w:rsidP="00DA27D1"/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jc w:val="center"/>
            </w:pPr>
            <w:r>
              <w:rPr>
                <w:rStyle w:val="a3"/>
              </w:rPr>
              <w:t>Детский сад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jc w:val="center"/>
            </w:pPr>
            <w:r>
              <w:rPr>
                <w:rStyle w:val="a3"/>
              </w:rPr>
              <w:t>Школа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302" w:rsidRDefault="000A0302" w:rsidP="00DA27D1"/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Подвоз детей, если территория образовательной организации удалена от жилых зданий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было норм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Удаленность определяли по климатической зоне и уровню общего образования. Максимальное время в пути – 30 минут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Надо организовать, если удаленность составляет больше 500 м, в труднодоступной местности – 800 м, в сельском поселении – от 1 км.</w:t>
            </w:r>
          </w:p>
          <w:p w:rsidR="000A0302" w:rsidRDefault="000A0302" w:rsidP="00DA27D1">
            <w:pPr>
              <w:pStyle w:val="a4"/>
            </w:pPr>
            <w:r>
              <w:t>Предельных норм времени в пути нет, но есть требование к расстоянию – до 30 км в одну сторону (</w:t>
            </w:r>
            <w:hyperlink r:id="rId5" w:anchor="/document/99/566085656/XA00M6S2MI/" w:history="1">
              <w:r>
                <w:rPr>
                  <w:rStyle w:val="a5"/>
                </w:rPr>
                <w:t>п. 2.1.2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proofErr w:type="spellStart"/>
            <w:r>
              <w:t>Ветро</w:t>
            </w:r>
            <w:proofErr w:type="spellEnd"/>
            <w:r>
              <w:t>- и снегозащита территории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Обеспечивали только в районе Крайнего Севера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было норм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Надо обеспечить, если территория расположена в районе Крайнего Севера и приравненной к нему местности (</w:t>
            </w:r>
            <w:hyperlink r:id="rId6" w:anchor="/document/99/566085656/XA00M7E2ML/" w:history="1">
              <w:r>
                <w:rPr>
                  <w:rStyle w:val="a5"/>
                </w:rPr>
                <w:t>п. 2.1.3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Озеленение территории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Рекомендовалось. Запрещалось сажать плодоносящие кустарники и деревья, например, яблони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Обязательное требование. Высаживали любые растения, кроме ядовитых, колючих и тех, что с ядовитыми плодами</w:t>
            </w:r>
          </w:p>
        </w:tc>
        <w:tc>
          <w:tcPr>
            <w:tcW w:w="3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Необходимо озеленить не меньше 50 процентов свободной площади. В исключительных случаях процент озеленения можно сократить. Запрещено сажать растения с ядовитыми плодами (</w:t>
            </w:r>
            <w:hyperlink r:id="rId7" w:anchor="/document/99/566085656/XA00M902N2/" w:history="1">
              <w:r>
                <w:rPr>
                  <w:rStyle w:val="a5"/>
                </w:rPr>
                <w:t>п. 2.2.1</w:t>
              </w:r>
            </w:hyperlink>
            <w:r>
              <w:t>)</w:t>
            </w:r>
          </w:p>
        </w:tc>
      </w:tr>
      <w:tr w:rsidR="000A0302" w:rsidTr="00DA27D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302" w:rsidRDefault="000A0302" w:rsidP="00DA27D1"/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Рекомендовалось озеленить не меньше 50 процентов свободной площади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302" w:rsidRDefault="000A0302" w:rsidP="00DA27D1"/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Ограждение территории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Рекомендовалось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Требовалось. Забор можно было не ставить со стороны стен здания, прилегающих к проезжей части улицы или пешеходному тротуару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Надо оградить забором по всему периметру. Исключений нет (</w:t>
            </w:r>
            <w:hyperlink r:id="rId8" w:anchor="/document/99/566085656/XA00M902N2/" w:history="1">
              <w:r>
                <w:rPr>
                  <w:rStyle w:val="a5"/>
                </w:rPr>
                <w:t>п. 2.2.1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Место площадки для сбора отходов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менее 15 м от здания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менее 20 м от здания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 xml:space="preserve">В непосредственной близости от въезда на </w:t>
            </w:r>
            <w:r>
              <w:lastRenderedPageBreak/>
              <w:t>территорию (</w:t>
            </w:r>
            <w:hyperlink r:id="rId9" w:anchor="/document/99/566085656/XA00MA42N8/" w:history="1">
              <w:r>
                <w:rPr>
                  <w:rStyle w:val="a5"/>
                </w:rPr>
                <w:t>п. 2.2.3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lastRenderedPageBreak/>
              <w:t>Объем заполнения мусоросборника для вывоза мусора</w:t>
            </w:r>
          </w:p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было норм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Если мусоросборник заполнился на 2/3 объема (</w:t>
            </w:r>
            <w:hyperlink r:id="rId10" w:anchor="/document/99/566085656/XA00M8O2N6/" w:history="1">
              <w:r>
                <w:rPr>
                  <w:rStyle w:val="a5"/>
                </w:rPr>
                <w:t>п. 2.11.1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Использование подвала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Под склад для хранения овощей и консервированных продуктов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было норм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 xml:space="preserve">Можно разместить гардероб, туалет для персонала, тир, книгохранилище, умывальные и душевые помещения, </w:t>
            </w:r>
            <w:proofErr w:type="spellStart"/>
            <w:r>
              <w:t>постирочную</w:t>
            </w:r>
            <w:proofErr w:type="spellEnd"/>
            <w:r>
              <w:t xml:space="preserve">, </w:t>
            </w:r>
            <w:proofErr w:type="gramStart"/>
            <w:r>
              <w:t>гладильную</w:t>
            </w:r>
            <w:proofErr w:type="gramEnd"/>
            <w:r>
              <w:t>, хозяйственные и иные подсобные помещения (</w:t>
            </w:r>
            <w:hyperlink r:id="rId11" w:anchor="/document/99/566085656/XA00M7U2MN/" w:history="1">
              <w:r>
                <w:rPr>
                  <w:rStyle w:val="a5"/>
                </w:rPr>
                <w:t>п. 2.3.1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Использование цокольного этажа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было норм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 xml:space="preserve">Могли </w:t>
            </w:r>
            <w:proofErr w:type="gramStart"/>
            <w:r>
              <w:t>разместить гардероб</w:t>
            </w:r>
            <w:proofErr w:type="gramEnd"/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Те же помещения, что и в подвале, а также дополнительно – туалеты, обеденные и тренажерные залы для молодежи (</w:t>
            </w:r>
            <w:hyperlink r:id="rId12" w:anchor="/document/99/566085656/XA00M7U2MN/" w:history="1">
              <w:r>
                <w:rPr>
                  <w:rStyle w:val="a5"/>
                </w:rPr>
                <w:t>п. 2.3.1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Этаж для размещения учебных кабинетов воспитанников и учеников 1–4-х классов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было норм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 xml:space="preserve">Рекомендовалось не выше второго этажа </w:t>
            </w:r>
            <w:proofErr w:type="gramStart"/>
            <w:r>
              <w:t>–д</w:t>
            </w:r>
            <w:proofErr w:type="gramEnd"/>
            <w:r>
              <w:t>ля 1-го класса, не выше третьего этажа – для 2–4-х классов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выше третьего этажа – для всех (</w:t>
            </w:r>
            <w:hyperlink r:id="rId13" w:anchor="/document/99/566085656/XA00M7U2MN/" w:history="1">
              <w:r>
                <w:rPr>
                  <w:rStyle w:val="a5"/>
                </w:rPr>
                <w:t>п. 2.3.1</w:t>
              </w:r>
            </w:hyperlink>
            <w:r>
              <w:t>). Исключение – кабинет технологии для мальчиков. Его размещают только на первом этаже (</w:t>
            </w:r>
            <w:hyperlink r:id="rId14" w:anchor="/document/99/566085656/XA00M9O2NH/" w:history="1">
              <w:r>
                <w:rPr>
                  <w:rStyle w:val="a5"/>
                </w:rPr>
                <w:t>п. 3.4.4</w:t>
              </w:r>
            </w:hyperlink>
            <w:r>
              <w:t>)</w:t>
            </w:r>
          </w:p>
        </w:tc>
      </w:tr>
      <w:tr w:rsidR="000A0302" w:rsidTr="00DA27D1">
        <w:trPr>
          <w:trHeight w:val="9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9" w:lineRule="atLeast"/>
            </w:pPr>
            <w:r>
              <w:t>Маркировка мебели для детей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9" w:lineRule="atLeast"/>
            </w:pPr>
            <w:r>
              <w:t>Требований к цвету и обозначению маркировки не было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9" w:lineRule="atLeast"/>
            </w:pPr>
            <w:r>
              <w:t>Использовали цвет из СанПиН. Обозначали кругом или полосой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9" w:lineRule="atLeast"/>
            </w:pPr>
            <w:r>
              <w:t>Цвет и номер мебели, рост ребенка, высоту рабочей плоскости, по которым маркируют мебель, надо брать в гигиенических нормативах (</w:t>
            </w:r>
            <w:hyperlink r:id="rId15" w:anchor="/document/99/566085656/XA00MBO2NG/" w:history="1">
              <w:r>
                <w:rPr>
                  <w:rStyle w:val="a5"/>
                </w:rPr>
                <w:t>п. 2.4.3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Документы об оценке соответствия продукции</w:t>
            </w:r>
          </w:p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было норм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Должны быть на мебель, строительные и отделочные материалы, оборудование, игры и игрушки, купленные с 01.01.2021 (</w:t>
            </w:r>
            <w:hyperlink r:id="rId16" w:anchor="/document/99/566085656/XA00MBO2NG/" w:history="1">
              <w:r>
                <w:rPr>
                  <w:rStyle w:val="a5"/>
                </w:rPr>
                <w:t>п. 2.4.3</w:t>
              </w:r>
            </w:hyperlink>
            <w:r>
              <w:t>, </w:t>
            </w:r>
            <w:hyperlink r:id="rId17" w:anchor="/document/99/566085656/XA00MBK2NE/" w:history="1">
              <w:r>
                <w:rPr>
                  <w:rStyle w:val="a5"/>
                </w:rPr>
                <w:t>п. 2.5.1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 xml:space="preserve">Документы о соответствии </w:t>
            </w:r>
            <w:r>
              <w:lastRenderedPageBreak/>
              <w:t>электронных средств обучения Единым санитарным требованиям</w:t>
            </w:r>
          </w:p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lastRenderedPageBreak/>
              <w:t>Не было норм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 xml:space="preserve">Должны быть на электронные средства </w:t>
            </w:r>
            <w:r>
              <w:lastRenderedPageBreak/>
              <w:t>обучения (</w:t>
            </w:r>
            <w:hyperlink r:id="rId18" w:anchor="/document/99/566085656/XA00MBU2NP/" w:history="1">
              <w:r>
                <w:rPr>
                  <w:rStyle w:val="a5"/>
                </w:rPr>
                <w:t>п. 3.5.1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lastRenderedPageBreak/>
              <w:t>Документы о соответствии на полимерное покрытие спортивных и игровых площадок</w:t>
            </w:r>
          </w:p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было норм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Должны быть, если используете такое покрытие (</w:t>
            </w:r>
            <w:hyperlink r:id="rId19" w:anchor="/document/99/566085656/XA00M9I2N5/" w:history="1">
              <w:r>
                <w:rPr>
                  <w:rStyle w:val="a5"/>
                </w:rPr>
                <w:t>п. 2.2.2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Материал посуды для приготовления пищи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Любой безопасный для здоровья человека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Нержавеющая сталь или аналогичный по свойствам материал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Только нержавеющая сталь (</w:t>
            </w:r>
            <w:hyperlink r:id="rId20" w:anchor="/document/99/566085656/XA00MA02N6/" w:history="1">
              <w:r>
                <w:rPr>
                  <w:rStyle w:val="a5"/>
                </w:rPr>
                <w:t>п. 2.4.6.2</w:t>
              </w:r>
            </w:hyperlink>
            <w:r>
              <w:t>)</w:t>
            </w:r>
          </w:p>
        </w:tc>
      </w:tr>
      <w:tr w:rsidR="000A0302" w:rsidTr="00DA27D1"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Конструкции столов для обработки пищевых продуктов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Цельнометаллические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Не было норм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>Только цельнометаллические (</w:t>
            </w:r>
            <w:hyperlink r:id="rId21" w:anchor="/document/99/566085656/XA00MA02N6/" w:history="1">
              <w:r>
                <w:rPr>
                  <w:rStyle w:val="a5"/>
                </w:rPr>
                <w:t>п. 2.4.6.2</w:t>
              </w:r>
            </w:hyperlink>
            <w:r>
              <w:t>)</w:t>
            </w:r>
          </w:p>
        </w:tc>
      </w:tr>
      <w:tr w:rsidR="000A0302" w:rsidTr="00DA27D1">
        <w:trPr>
          <w:trHeight w:val="4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Поверхность столешниц для теста и холодных закусок</w:t>
            </w:r>
          </w:p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Не было норм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 xml:space="preserve">Для теста – из дерева твердых лиственных пород, для закусок – </w:t>
            </w:r>
            <w:proofErr w:type="gramStart"/>
            <w:r>
              <w:t>охлаждаемая</w:t>
            </w:r>
            <w:proofErr w:type="gramEnd"/>
            <w:r>
              <w:t>. При замене оборудования надо закупить столы для холодных закусок с охлаждаемой поверхностью (</w:t>
            </w:r>
            <w:hyperlink r:id="rId22" w:anchor="/document/99/566085656/XA00MA02N6/" w:history="1">
              <w:r>
                <w:rPr>
                  <w:rStyle w:val="a5"/>
                </w:rPr>
                <w:t>п. 2.4.6.2</w:t>
              </w:r>
            </w:hyperlink>
            <w:r>
              <w:t>)</w:t>
            </w:r>
          </w:p>
        </w:tc>
      </w:tr>
      <w:tr w:rsidR="000A0302" w:rsidTr="00DA27D1">
        <w:trPr>
          <w:trHeight w:val="10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10" w:lineRule="atLeast"/>
            </w:pPr>
            <w:r>
              <w:t>Обследование вентиляции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10" w:lineRule="atLeast"/>
            </w:pPr>
            <w:r>
              <w:t>Не реже одного раза в год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10" w:lineRule="atLeast"/>
            </w:pPr>
            <w:r>
              <w:t>Через 2 года после ввода здания в эксплуатацию, а затем – не реже одного раза в 10 лет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10" w:lineRule="atLeast"/>
            </w:pPr>
            <w:r>
              <w:t>После ввода здания в эксплуатацию, через два года после ввода, а затем – не реже одного раза в 10 лет (</w:t>
            </w:r>
            <w:hyperlink r:id="rId23" w:anchor="/document/99/566085656/XA00M782N0/" w:history="1">
              <w:r>
                <w:rPr>
                  <w:rStyle w:val="a5"/>
                </w:rPr>
                <w:t>п. 2.7.4</w:t>
              </w:r>
            </w:hyperlink>
            <w:r>
              <w:t>)</w:t>
            </w:r>
          </w:p>
        </w:tc>
      </w:tr>
      <w:tr w:rsidR="000A0302" w:rsidTr="00DA27D1">
        <w:trPr>
          <w:trHeight w:val="4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Продолжительность проветривания помещений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Во всех – не менее 10 минут через каждые 1,5 часа, в спальне – 30 минут во время влажной уборки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Рекомендуемая продолжительность на переменах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 xml:space="preserve">После каждого занятия необходимо проветрить спортивный, гимнастический, хореографический, музыкальный залы – не менее 10 минут. Для учебных </w:t>
            </w:r>
            <w:r>
              <w:lastRenderedPageBreak/>
              <w:t>помещений в школе норматив надо брать в гигиенических нормативах (</w:t>
            </w:r>
            <w:hyperlink r:id="rId24" w:anchor="/document/99/566085656/XA00M9A2N9/" w:history="1">
              <w:r>
                <w:rPr>
                  <w:rStyle w:val="a5"/>
                </w:rPr>
                <w:t>п. 2.11.2</w:t>
              </w:r>
            </w:hyperlink>
            <w:r>
              <w:t>)</w:t>
            </w:r>
          </w:p>
        </w:tc>
      </w:tr>
      <w:tr w:rsidR="000A0302" w:rsidTr="00DA27D1">
        <w:trPr>
          <w:trHeight w:val="4"/>
        </w:trPr>
        <w:tc>
          <w:tcPr>
            <w:tcW w:w="2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lastRenderedPageBreak/>
              <w:t>Освещенность помещений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Нормы были установлены для слепых и слабовидящих детей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proofErr w:type="gramStart"/>
            <w:r>
              <w:t>В кабинетах, аудиториях, лабораториях –300–500 люкс, в кабинетах черчения и рисования – 500 люкс, в спортзалах – 200 люкс, в рекреациях – 150 люкс</w:t>
            </w:r>
            <w:proofErr w:type="gramEnd"/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</w:pPr>
            <w:r>
              <w:t xml:space="preserve">В </w:t>
            </w:r>
            <w:proofErr w:type="gramStart"/>
            <w:r>
              <w:t>групповых</w:t>
            </w:r>
            <w:proofErr w:type="gramEnd"/>
            <w:r>
              <w:t xml:space="preserve"> (игровых) детского сада – не менее 400 люкс.</w:t>
            </w:r>
          </w:p>
          <w:p w:rsidR="000A0302" w:rsidRDefault="000A0302" w:rsidP="00DA27D1">
            <w:pPr>
              <w:pStyle w:val="a4"/>
              <w:spacing w:line="4" w:lineRule="atLeast"/>
            </w:pPr>
            <w:r>
              <w:t>В учебных помещениях школы – не менее 300 люкс, кабинетах черчения, рисования, скульптуры – 300 люкс, мастерской трудового обучения – 400 люкс (</w:t>
            </w:r>
            <w:hyperlink r:id="rId25" w:anchor="/document/99/566085656/XA00M4S2ML/" w:history="1">
              <w:r>
                <w:rPr>
                  <w:rStyle w:val="a5"/>
                </w:rPr>
                <w:t>п. 2.8.5</w:t>
              </w:r>
            </w:hyperlink>
            <w:r>
              <w:t>)</w:t>
            </w:r>
          </w:p>
        </w:tc>
      </w:tr>
      <w:tr w:rsidR="000A0302" w:rsidTr="00DA27D1">
        <w:trPr>
          <w:trHeight w:val="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302" w:rsidRDefault="000A0302" w:rsidP="00DA27D1"/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Для неуказанных в правилах помещений нормы брали из СанПиН 2.2.1/2.1.1.1278-03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Нормы укажут в гигиенических нормативах</w:t>
            </w:r>
          </w:p>
        </w:tc>
      </w:tr>
      <w:tr w:rsidR="000A0302" w:rsidTr="00DA27D1">
        <w:trPr>
          <w:trHeight w:val="4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Конструкции осветительных приборов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В помещениях для детей – защитная светорассеивающая арматура, в пищеблоке и прачечной – пылевлагонепроницаемая защитная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 xml:space="preserve">В пищеблоке </w:t>
            </w:r>
            <w:proofErr w:type="gramStart"/>
            <w:r>
              <w:t>–</w:t>
            </w:r>
            <w:proofErr w:type="spellStart"/>
            <w:r>
              <w:t>в</w:t>
            </w:r>
            <w:proofErr w:type="gramEnd"/>
            <w:r>
              <w:t>лагопылезащитная</w:t>
            </w:r>
            <w:proofErr w:type="spellEnd"/>
            <w:r>
              <w:t xml:space="preserve"> конструкция. Для остальных помещений норм не было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 xml:space="preserve">Во всех помещениях </w:t>
            </w:r>
            <w:proofErr w:type="gramStart"/>
            <w:r>
              <w:t>–с</w:t>
            </w:r>
            <w:proofErr w:type="gramEnd"/>
            <w:r>
              <w:t>веторассеивающая конструкция, в спортзале – защитная, в пищеблоке, душевых и прачечной –пылевлагонепроницаемая (</w:t>
            </w:r>
            <w:hyperlink r:id="rId26" w:anchor="/document/99/566085656/XA00M762MV/" w:history="1">
              <w:r>
                <w:rPr>
                  <w:rStyle w:val="a5"/>
                </w:rPr>
                <w:t>п. 2.8.6</w:t>
              </w:r>
            </w:hyperlink>
            <w:r>
              <w:t>)</w:t>
            </w:r>
          </w:p>
        </w:tc>
      </w:tr>
      <w:tr w:rsidR="000A0302" w:rsidTr="00DA27D1">
        <w:trPr>
          <w:trHeight w:val="4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Частота уборки помещений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proofErr w:type="gramStart"/>
            <w:r>
              <w:t>Во всех помещениях – не меньше двух раз в день, в спортзале – один раз в день и после каждого занятия, в групповых – после каждого приема пищи</w:t>
            </w:r>
            <w:proofErr w:type="gramEnd"/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Во всех помещениях, в том числе спортзале – ежедневно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 xml:space="preserve">Во всех помещениях </w:t>
            </w:r>
            <w:proofErr w:type="gramStart"/>
            <w:r>
              <w:t>–е</w:t>
            </w:r>
            <w:proofErr w:type="gramEnd"/>
            <w:r>
              <w:t>жедневно. В спортзале и групповых – не реже двух раз в день (</w:t>
            </w:r>
            <w:hyperlink r:id="rId27" w:anchor="/document/99/566085656/XA00M9A2N9/" w:history="1">
              <w:r>
                <w:rPr>
                  <w:rStyle w:val="a5"/>
                </w:rPr>
                <w:t>п. 2.11.2</w:t>
              </w:r>
            </w:hyperlink>
            <w:r>
              <w:t>)</w:t>
            </w:r>
          </w:p>
        </w:tc>
      </w:tr>
      <w:tr w:rsidR="000A0302" w:rsidTr="00DA27D1">
        <w:trPr>
          <w:trHeight w:val="4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Медицинское заключение или справка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proofErr w:type="gramStart"/>
            <w:r>
              <w:t>Предоставляли справку</w:t>
            </w:r>
            <w:proofErr w:type="gramEnd"/>
            <w:r>
              <w:t>, если ребенок не посещал сад больше пяти дней или болел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proofErr w:type="gramStart"/>
            <w:r>
              <w:t>Предоставляли справку</w:t>
            </w:r>
            <w:proofErr w:type="gramEnd"/>
            <w:r>
              <w:t xml:space="preserve"> врача-педиатра, если ученик болел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Надо предоставлять, если ребенок болел (</w:t>
            </w:r>
            <w:hyperlink r:id="rId28" w:anchor="/document/99/566085656/XA00M7M2N1/" w:history="1">
              <w:r>
                <w:rPr>
                  <w:rStyle w:val="a5"/>
                </w:rPr>
                <w:t>п. 2.9.4</w:t>
              </w:r>
            </w:hyperlink>
            <w:r>
              <w:t>)</w:t>
            </w:r>
          </w:p>
        </w:tc>
      </w:tr>
      <w:tr w:rsidR="000A0302" w:rsidTr="00DA27D1">
        <w:trPr>
          <w:trHeight w:val="4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Информирование Роспотребнадзора о массовом мероприятии</w:t>
            </w:r>
          </w:p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Не было норм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>Не позже чем за один месяц до начала мероприятия (</w:t>
            </w:r>
            <w:hyperlink r:id="rId29" w:anchor="/document/99/566085656/XA00M8U2NA/" w:history="1">
              <w:r>
                <w:rPr>
                  <w:rStyle w:val="a5"/>
                </w:rPr>
                <w:t>п. 3.16.1</w:t>
              </w:r>
            </w:hyperlink>
            <w:r>
              <w:t>)</w:t>
            </w:r>
          </w:p>
        </w:tc>
      </w:tr>
      <w:tr w:rsidR="000A0302" w:rsidTr="00DA27D1">
        <w:trPr>
          <w:trHeight w:val="4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 xml:space="preserve">Перевозка детей </w:t>
            </w:r>
            <w:r>
              <w:lastRenderedPageBreak/>
              <w:t>ж/д транспортом</w:t>
            </w:r>
          </w:p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lastRenderedPageBreak/>
              <w:t>Требования были в СП 2.5.3157-14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pStyle w:val="a4"/>
              <w:spacing w:line="4" w:lineRule="atLeast"/>
            </w:pPr>
            <w:r>
              <w:t xml:space="preserve">Оставили только </w:t>
            </w:r>
            <w:r>
              <w:lastRenderedPageBreak/>
              <w:t>существенные требования (</w:t>
            </w:r>
            <w:hyperlink r:id="rId30" w:anchor="/document/99/566085656/XA00MBO2NM/" w:history="1">
              <w:r>
                <w:rPr>
                  <w:rStyle w:val="a5"/>
                </w:rPr>
                <w:t>п. 4</w:t>
              </w:r>
            </w:hyperlink>
            <w:r>
              <w:t>)</w:t>
            </w:r>
          </w:p>
        </w:tc>
      </w:tr>
      <w:tr w:rsidR="000A0302" w:rsidTr="00DA27D1">
        <w:trPr>
          <w:trHeight w:val="4"/>
        </w:trPr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spacing w:line="4" w:lineRule="atLeas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spacing w:line="4" w:lineRule="atLeast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302" w:rsidRDefault="000A0302" w:rsidP="00DA27D1">
            <w:pPr>
              <w:spacing w:line="4" w:lineRule="atLeast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0A0302" w:rsidRDefault="000A0302"/>
    <w:sectPr w:rsidR="000A0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302"/>
    <w:rsid w:val="000A0302"/>
    <w:rsid w:val="00672CC2"/>
    <w:rsid w:val="0094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0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0302"/>
    <w:rPr>
      <w:b/>
      <w:bCs/>
    </w:rPr>
  </w:style>
  <w:style w:type="paragraph" w:styleId="a4">
    <w:name w:val="Normal (Web)"/>
    <w:basedOn w:val="a"/>
    <w:uiPriority w:val="99"/>
    <w:unhideWhenUsed/>
    <w:rsid w:val="000A0302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0A03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0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0302"/>
    <w:rPr>
      <w:b/>
      <w:bCs/>
    </w:rPr>
  </w:style>
  <w:style w:type="paragraph" w:styleId="a4">
    <w:name w:val="Normal (Web)"/>
    <w:basedOn w:val="a"/>
    <w:uiPriority w:val="99"/>
    <w:unhideWhenUsed/>
    <w:rsid w:val="000A0302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0A03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18" Type="http://schemas.openxmlformats.org/officeDocument/2006/relationships/hyperlink" Target="https://vip.1obraz.ru/" TargetMode="External"/><Relationship Id="rId26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ip.1obraz.ru/" TargetMode="Externa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17" Type="http://schemas.openxmlformats.org/officeDocument/2006/relationships/hyperlink" Target="https://vip.1obraz.ru/" TargetMode="External"/><Relationship Id="rId25" Type="http://schemas.openxmlformats.org/officeDocument/2006/relationships/hyperlink" Target="https://vip.1obraz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vip.1obraz.ru/" TargetMode="External"/><Relationship Id="rId20" Type="http://schemas.openxmlformats.org/officeDocument/2006/relationships/hyperlink" Target="https://vip.1obraz.ru/" TargetMode="External"/><Relationship Id="rId29" Type="http://schemas.openxmlformats.org/officeDocument/2006/relationships/hyperlink" Target="https://vip.1obraz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24" Type="http://schemas.openxmlformats.org/officeDocument/2006/relationships/hyperlink" Target="https://vip.1obraz.ru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vip.1obraz.ru/" TargetMode="External"/><Relationship Id="rId15" Type="http://schemas.openxmlformats.org/officeDocument/2006/relationships/hyperlink" Target="https://vip.1obraz.ru/" TargetMode="External"/><Relationship Id="rId23" Type="http://schemas.openxmlformats.org/officeDocument/2006/relationships/hyperlink" Target="https://vip.1obraz.ru/" TargetMode="External"/><Relationship Id="rId28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19" Type="http://schemas.openxmlformats.org/officeDocument/2006/relationships/hyperlink" Target="https://vip.1obraz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s://vip.1obraz.ru/" TargetMode="External"/><Relationship Id="rId22" Type="http://schemas.openxmlformats.org/officeDocument/2006/relationships/hyperlink" Target="https://vip.1obraz.ru/" TargetMode="External"/><Relationship Id="rId27" Type="http://schemas.openxmlformats.org/officeDocument/2006/relationships/hyperlink" Target="https://vip.1obraz.ru/" TargetMode="External"/><Relationship Id="rId30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2</cp:revision>
  <dcterms:created xsi:type="dcterms:W3CDTF">2021-02-17T07:10:00Z</dcterms:created>
  <dcterms:modified xsi:type="dcterms:W3CDTF">2021-02-19T08:38:00Z</dcterms:modified>
</cp:coreProperties>
</file>