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8A" w:rsidRDefault="0092508A" w:rsidP="0092508A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Приложение №10</w:t>
      </w:r>
    </w:p>
    <w:p w:rsidR="009843D8" w:rsidRPr="009843D8" w:rsidRDefault="009843D8" w:rsidP="009843D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43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9843D8" w:rsidRPr="009843D8" w:rsidRDefault="009843D8" w:rsidP="009843D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843D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9843D8" w:rsidRPr="009843D8" w:rsidRDefault="009843D8" w:rsidP="009843D8">
      <w:pPr>
        <w:tabs>
          <w:tab w:val="left" w:pos="5535"/>
        </w:tabs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843D8" w:rsidRDefault="009843D8" w:rsidP="009843D8">
      <w:pPr>
        <w:tabs>
          <w:tab w:val="left" w:pos="5535"/>
        </w:tabs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843D8" w:rsidRPr="009843D8" w:rsidRDefault="009843D8" w:rsidP="009843D8">
      <w:pPr>
        <w:tabs>
          <w:tab w:val="left" w:pos="5535"/>
        </w:tabs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843D8" w:rsidRDefault="009843D8" w:rsidP="009843D8">
      <w:pPr>
        <w:tabs>
          <w:tab w:val="left" w:pos="5535"/>
        </w:tabs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843D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9843D8" w:rsidRPr="009843D8" w:rsidRDefault="009843D8" w:rsidP="009843D8">
      <w:pPr>
        <w:tabs>
          <w:tab w:val="left" w:pos="5535"/>
        </w:tabs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843D8" w:rsidRPr="009843D8" w:rsidRDefault="009843D8" w:rsidP="009843D8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843D8" w:rsidRPr="009843D8" w:rsidRDefault="009843D8" w:rsidP="009843D8">
      <w:pPr>
        <w:spacing w:before="0" w:beforeAutospacing="0" w:after="0" w:afterAutospacing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43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от  </w:t>
      </w:r>
      <w:r w:rsidRPr="009843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9843D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                                                                                        №  </w:t>
      </w:r>
    </w:p>
    <w:p w:rsidR="00CF6FFC" w:rsidRPr="009843D8" w:rsidRDefault="00CF6F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6FFC" w:rsidRPr="009843D8" w:rsidRDefault="009843D8" w:rsidP="009843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843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создании постоянно действующей группы ХАССП</w:t>
      </w:r>
      <w:r w:rsidR="002974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(а</w:t>
      </w:r>
      <w:r w:rsidR="00297480" w:rsidRPr="002974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нализ опасностей и критические контрольные точки (рус.</w:t>
      </w:r>
      <w:proofErr w:type="gramEnd"/>
      <w:r w:rsidR="00297480" w:rsidRPr="002974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="00297480" w:rsidRPr="002974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ХАССП, англ. HACCP)</w:t>
      </w:r>
      <w:proofErr w:type="gramEnd"/>
    </w:p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пунктом 2.1 СП 2.3/2.4.3590-20 «Санитарно-эпидемиологические требования к организации общественного питания населения», пунктом 3 части 3 статьи 10 </w:t>
      </w:r>
      <w:proofErr w:type="gramStart"/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 xml:space="preserve"> ТС 021/2011 «Технический регламент Таможенного союза. О безопасности пищевой продукции», в целях разработки и внедрения системы анализа рисков и критических контрольных точек (далее – ХАССП)</w:t>
      </w:r>
    </w:p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1. Создать постоянно действующую группу ХАССП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гимназии </w:t>
      </w: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в следующем составе: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80"/>
        <w:gridCol w:w="7247"/>
      </w:tblGrid>
      <w:tr w:rsidR="00CF6FFC" w:rsidRPr="004C2538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Координатор</w:t>
            </w:r>
            <w:proofErr w:type="spellEnd"/>
          </w:p>
        </w:tc>
        <w:tc>
          <w:tcPr>
            <w:tcW w:w="7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Pr="009843D8" w:rsidRDefault="004C2538" w:rsidP="009843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Комолова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Светлана Юрьевна</w:t>
            </w:r>
            <w:bookmarkStart w:id="0" w:name="_GoBack"/>
            <w:bookmarkEnd w:id="0"/>
            <w:r w:rsidR="009843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заместитель директора по УВР, ответственный за организацию питания</w:t>
            </w:r>
          </w:p>
        </w:tc>
      </w:tr>
      <w:tr w:rsidR="00CF6FFC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  <w:proofErr w:type="spellEnd"/>
          </w:p>
        </w:tc>
        <w:tc>
          <w:tcPr>
            <w:tcW w:w="7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</w:t>
            </w:r>
          </w:p>
        </w:tc>
      </w:tr>
      <w:tr w:rsidR="00CF6FFC">
        <w:tc>
          <w:tcPr>
            <w:tcW w:w="183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группы:</w:t>
            </w:r>
          </w:p>
        </w:tc>
        <w:tc>
          <w:tcPr>
            <w:tcW w:w="7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</w:t>
            </w:r>
          </w:p>
          <w:p w:rsidR="00CF6FFC" w:rsidRDefault="009843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</w:t>
            </w:r>
          </w:p>
        </w:tc>
      </w:tr>
    </w:tbl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2. Поручить постоянно действующей комиссии ХАССП: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провести анализ опасных факторов, существенно влияющих на безопасность пищевой продукции;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определить критические точки контроля и установить их критические пределы;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установить систему мониторинга контроля критических точек контроля;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установить корректирующие действия, которые должны быть предприняты, если мониторинг показывает, что критические контрольные точки не находятся под контролем;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внутренние проверки ХАССП непосредственно после внедрения системы ХАССП и затем не реже одного раза в год и во внеплановом порядке при выявлении новых неучтенных опасных факторов и рисков;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вести документацию относительно всех процедур и записи, соответствующие указанным принципам и их применению;</w:t>
      </w:r>
    </w:p>
    <w:p w:rsidR="00CF6FFC" w:rsidRPr="009843D8" w:rsidRDefault="009843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 в своей деятельности действующим законодательством;</w:t>
      </w:r>
    </w:p>
    <w:p w:rsidR="00CF6FFC" w:rsidRDefault="009843D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_____.</w:t>
      </w:r>
    </w:p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3. Поручить координатору постоянно действующей комиссии ХАССП:</w:t>
      </w:r>
    </w:p>
    <w:p w:rsidR="00CF6FFC" w:rsidRPr="009843D8" w:rsidRDefault="009843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>разработать формы рабочей документации группы;</w:t>
      </w:r>
    </w:p>
    <w:p w:rsidR="00CF6FFC" w:rsidRDefault="009843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6FFC" w:rsidRDefault="009843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отчитываться о работе группы _____________________;</w:t>
      </w:r>
    </w:p>
    <w:p w:rsidR="00CF6FFC" w:rsidRDefault="009843D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_____.</w:t>
      </w:r>
    </w:p>
    <w:p w:rsidR="00CF6FFC" w:rsidRPr="009843D8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Секретарю Костюк Н.Л.</w:t>
      </w:r>
      <w:r w:rsidRPr="009843D8"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довести настоящий приказ до сведения указанных в нем лиц под подпись.</w:t>
      </w:r>
    </w:p>
    <w:p w:rsidR="00CF6FFC" w:rsidRPr="00297480" w:rsidRDefault="009843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7480">
        <w:rPr>
          <w:rFonts w:hAnsi="Times New Roman" w:cs="Times New Roman"/>
          <w:color w:val="000000"/>
          <w:sz w:val="24"/>
          <w:szCs w:val="24"/>
          <w:lang w:val="ru-RU"/>
        </w:rPr>
        <w:t>5. Контроль исполнения настоящего 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7480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9843D8" w:rsidRDefault="009843D8" w:rsidP="009843D8">
      <w:pPr>
        <w:pStyle w:val="a3"/>
        <w:spacing w:line="276" w:lineRule="auto"/>
        <w:ind w:left="360"/>
        <w:jc w:val="both"/>
      </w:pPr>
    </w:p>
    <w:p w:rsidR="009843D8" w:rsidRDefault="009843D8" w:rsidP="009843D8">
      <w:pPr>
        <w:pStyle w:val="a3"/>
        <w:spacing w:line="276" w:lineRule="auto"/>
        <w:ind w:left="360"/>
        <w:jc w:val="both"/>
      </w:pPr>
      <w:r>
        <w:t xml:space="preserve">Директор                                                                   </w:t>
      </w:r>
      <w:proofErr w:type="spellStart"/>
      <w:r>
        <w:t>А.В.Майоров</w:t>
      </w:r>
      <w:proofErr w:type="spellEnd"/>
    </w:p>
    <w:p w:rsidR="009843D8" w:rsidRDefault="009843D8" w:rsidP="009843D8">
      <w:pPr>
        <w:pStyle w:val="a3"/>
        <w:spacing w:line="276" w:lineRule="auto"/>
        <w:ind w:left="360"/>
        <w:jc w:val="both"/>
      </w:pPr>
    </w:p>
    <w:p w:rsidR="009843D8" w:rsidRDefault="009843D8" w:rsidP="009843D8">
      <w:pPr>
        <w:pStyle w:val="a3"/>
        <w:spacing w:line="276" w:lineRule="auto"/>
        <w:ind w:left="360"/>
        <w:jc w:val="both"/>
      </w:pPr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079"/>
        <w:gridCol w:w="3104"/>
      </w:tblGrid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  <w:proofErr w:type="spellStart"/>
            <w:r>
              <w:t>Дата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  <w:proofErr w:type="spellStart"/>
            <w:r>
              <w:t>Подпись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  <w:proofErr w:type="spellStart"/>
            <w:r>
              <w:t>Расшифровка</w:t>
            </w:r>
            <w:proofErr w:type="spellEnd"/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  <w:tr w:rsidR="009843D8" w:rsidTr="00E177F9"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9843D8" w:rsidRDefault="009843D8" w:rsidP="00E177F9">
            <w:pPr>
              <w:ind w:firstLine="426"/>
              <w:jc w:val="both"/>
            </w:pPr>
          </w:p>
        </w:tc>
      </w:tr>
    </w:tbl>
    <w:p w:rsidR="009843D8" w:rsidRDefault="009843D8" w:rsidP="009843D8">
      <w:pPr>
        <w:spacing w:line="360" w:lineRule="auto"/>
        <w:jc w:val="both"/>
      </w:pPr>
    </w:p>
    <w:p w:rsidR="00CF6FFC" w:rsidRDefault="00CF6FFC" w:rsidP="009843D8">
      <w:pPr>
        <w:rPr>
          <w:rFonts w:hAnsi="Times New Roman" w:cs="Times New Roman"/>
          <w:color w:val="000000"/>
          <w:sz w:val="24"/>
          <w:szCs w:val="24"/>
        </w:rPr>
      </w:pPr>
    </w:p>
    <w:sectPr w:rsidR="00CF6FF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A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0108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97480"/>
    <w:rsid w:val="002D33B1"/>
    <w:rsid w:val="002D3591"/>
    <w:rsid w:val="003514A0"/>
    <w:rsid w:val="004C2538"/>
    <w:rsid w:val="004F7E17"/>
    <w:rsid w:val="005A05CE"/>
    <w:rsid w:val="00653AF6"/>
    <w:rsid w:val="0092508A"/>
    <w:rsid w:val="009843D8"/>
    <w:rsid w:val="00B73A5A"/>
    <w:rsid w:val="00CF6FFC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843D8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843D8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6</cp:revision>
  <dcterms:created xsi:type="dcterms:W3CDTF">2021-02-12T12:03:00Z</dcterms:created>
  <dcterms:modified xsi:type="dcterms:W3CDTF">2024-11-05T10:59:00Z</dcterms:modified>
</cp:coreProperties>
</file>